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4 references coded [ 1.58%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坚持安全可控。强化底线思维，将安全可控贯穿智能制造 </w:t>
      </w:r>
      <w:r>
        <w:rPr/>
        <w:br/>
      </w:r>
      <w:r>
        <w:rPr/>
        <w:t>创新发展全过程。加强安全风险研判与应对，加快提升智能制 造数据安全、网络安全、功能安全保障能力，着力防范化解产 业链供应链风险，实现发展与安全相统一。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2 - 0.32%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针对民爆、矿山、危化品等危险性较大企业 推广少人无人作业，实施安全一体化监控；实施大型制造设备健康监测和远 程运维，保证流程安全运行；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3 - 0.59%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实施 企业网络安全分类分级管理，督促企业落实网络安全主体责 </w:t>
      </w:r>
      <w:r>
        <w:rPr/>
        <w:br/>
        <w:t xml:space="preserve">12 </w:t>
        <w:br/>
      </w:r>
      <w:r>
        <w:rPr/>
        <w:t>任。完善国家、地方、企业多级工控信息安全监测预警网络， 加快建设工业互联网安全技术监测服务体系。探索建立数据跨 境传输备案与监管机制。建立符合政策标准要求的技术防护体 系和安全管理制度。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推动建立数据资源产权、交 易流通、跨境传输和安全保护等基础制度和标准规范。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